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213778</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15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of RRM aspects on BWP without bandwidth restriction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13.1.4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The discussion about BWP without bandwidth restriction was triggered by an LS[1] from RAN2#117e meeting.     During</w:t>
      </w:r>
      <w:r>
        <w:rPr>
          <w:rFonts w:hint="default" w:eastAsia="宋体"/>
          <w:color w:val="auto"/>
          <w:sz w:val="20"/>
          <w:szCs w:val="20"/>
          <w:highlight w:val="none"/>
          <w:lang w:val="en-US" w:eastAsia="zh-CN"/>
        </w:rPr>
        <w:t xml:space="preserve"> </w:t>
      </w:r>
      <w:r>
        <w:rPr>
          <w:rFonts w:hint="eastAsia" w:eastAsia="宋体"/>
          <w:color w:val="auto"/>
          <w:sz w:val="20"/>
          <w:szCs w:val="20"/>
          <w:highlight w:val="none"/>
          <w:lang w:val="en-US" w:eastAsia="zh-CN"/>
        </w:rPr>
        <w:t xml:space="preserve">RAN plenary 96 meeting, it was approved that: </w:t>
      </w:r>
      <w:r>
        <w:rPr>
          <w:rFonts w:hint="default" w:eastAsia="宋体"/>
          <w:color w:val="auto"/>
          <w:sz w:val="20"/>
          <w:szCs w:val="20"/>
          <w:highlight w:val="none"/>
          <w:lang w:val="en-US" w:eastAsia="zh-CN"/>
        </w:rPr>
        <w:t>To task the relevant Working Groups (RAN 1, 2, 4) to make progress on their discussions related to the RAN 2 LS in R2-2204009, aim to ensure that Feature Group 6-1a “bwp-WithoutRestriction” works in an early implementable form in R18, or, possibly R17, and report progress to RAN #97.</w:t>
      </w:r>
    </w:p>
    <w:p>
      <w:pPr>
        <w:pStyle w:val="8"/>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this document, we will provide some analysis on BWP without bandwidth restriction from the perspective of RAN4.</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NR has supportted BWP operation without bandwidth restriction (FG6-1a) as an optional feature with per-band UE capability signalling. If a UE indicates support of this feature, the UE can be configured with a DL BWP that does not include the bandwidth of CORESET#0 (if configured) and SSB for PCell/PSCell, and a DL BWP that does not include SSB for SCell. This UE feature has been supported in Rel-15 from RRC signaling perspective, but not any RAN4 related impact was studied. The related UE feature is shown as below:</w:t>
      </w:r>
    </w:p>
    <w:tbl>
      <w:tblPr>
        <w:tblStyle w:val="16"/>
        <w:tblW w:w="88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559"/>
        <w:gridCol w:w="4253"/>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34"/>
              <w:rPr>
                <w:b/>
                <w:bCs/>
              </w:rPr>
            </w:pPr>
            <w:r>
              <w:rPr>
                <w:b/>
                <w:bCs/>
              </w:rPr>
              <w:t>Index</w:t>
            </w:r>
          </w:p>
        </w:tc>
        <w:tc>
          <w:tcPr>
            <w:tcW w:w="1559" w:type="dxa"/>
          </w:tcPr>
          <w:p>
            <w:pPr>
              <w:pStyle w:val="34"/>
              <w:rPr>
                <w:b/>
                <w:bCs/>
              </w:rPr>
            </w:pPr>
            <w:r>
              <w:rPr>
                <w:b/>
                <w:bCs/>
              </w:rPr>
              <w:t>Feature group</w:t>
            </w:r>
          </w:p>
        </w:tc>
        <w:tc>
          <w:tcPr>
            <w:tcW w:w="4253" w:type="dxa"/>
          </w:tcPr>
          <w:p>
            <w:pPr>
              <w:pStyle w:val="34"/>
              <w:rPr>
                <w:b/>
                <w:bCs/>
              </w:rPr>
            </w:pPr>
            <w:r>
              <w:rPr>
                <w:b/>
                <w:bCs/>
              </w:rPr>
              <w:t>Components</w:t>
            </w:r>
          </w:p>
        </w:tc>
        <w:tc>
          <w:tcPr>
            <w:tcW w:w="2231" w:type="dxa"/>
          </w:tcPr>
          <w:p>
            <w:pPr>
              <w:pStyle w:val="34"/>
              <w:rPr>
                <w:b/>
                <w:bCs/>
                <w:i/>
              </w:rPr>
            </w:pPr>
            <w:r>
              <w:rPr>
                <w:b/>
                <w:bCs/>
                <w:i/>
              </w:rPr>
              <w:t>Field name in TS 38.331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34"/>
            </w:pPr>
            <w:r>
              <w:t>6-1a</w:t>
            </w:r>
          </w:p>
        </w:tc>
        <w:tc>
          <w:tcPr>
            <w:tcW w:w="1559" w:type="dxa"/>
          </w:tcPr>
          <w:p>
            <w:pPr>
              <w:pStyle w:val="34"/>
            </w:pPr>
            <w:r>
              <w:t>BWP operation without restriction on BW of BWP(s)</w:t>
            </w:r>
          </w:p>
        </w:tc>
        <w:tc>
          <w:tcPr>
            <w:tcW w:w="4253" w:type="dxa"/>
          </w:tcPr>
          <w:p>
            <w:pPr>
              <w:pStyle w:val="34"/>
            </w:pPr>
            <w:r>
              <w:t>BW of UE-specific RRC configured BWP may not include BW of the CORESET#0 (if CORESET#0 is present) and SSB for PCell/PSCell (if configured) and BW of the UE-specific RRC configured BWP may not include SSB for SCell</w:t>
            </w:r>
          </w:p>
        </w:tc>
        <w:tc>
          <w:tcPr>
            <w:tcW w:w="2231" w:type="dxa"/>
          </w:tcPr>
          <w:p>
            <w:pPr>
              <w:pStyle w:val="34"/>
              <w:rPr>
                <w:i/>
              </w:rPr>
            </w:pPr>
            <w:r>
              <w:rPr>
                <w:i/>
              </w:rPr>
              <w:t>bwp-WithoutRestriction</w:t>
            </w:r>
          </w:p>
        </w:tc>
      </w:tr>
    </w:tbl>
    <w:p>
      <w:pPr>
        <w:pStyle w:val="8"/>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The feature of 6-1a can make the scenario of narrow BWPs for different UE be applicable as shown in below, then UE power saving gain can be achieved.</w:t>
      </w:r>
    </w:p>
    <w:p>
      <w:pPr>
        <w:pStyle w:val="8"/>
        <w:jc w:val="center"/>
        <w:rPr>
          <w:rFonts w:hint="default" w:eastAsia="宋体"/>
          <w:b/>
          <w:bCs/>
          <w:color w:val="auto"/>
          <w:sz w:val="20"/>
          <w:szCs w:val="20"/>
          <w:highlight w:val="none"/>
          <w:lang w:val="en-US" w:eastAsia="zh-CN"/>
        </w:rPr>
      </w:pPr>
      <w:r>
        <w:rPr>
          <w:rFonts w:hint="default" w:eastAsia="宋体"/>
          <w:b/>
          <w:bCs/>
          <w:color w:val="auto"/>
          <w:sz w:val="20"/>
          <w:szCs w:val="20"/>
          <w:highlight w:val="none"/>
          <w:lang w:val="en-US" w:eastAsia="zh-CN"/>
        </w:rPr>
        <w:drawing>
          <wp:inline distT="0" distB="0" distL="114300" distR="114300">
            <wp:extent cx="3650615" cy="1783715"/>
            <wp:effectExtent l="0" t="0" r="6985" b="146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3650615" cy="1783715"/>
                    </a:xfrm>
                    <a:prstGeom prst="rect">
                      <a:avLst/>
                    </a:prstGeom>
                    <a:noFill/>
                    <a:ln>
                      <a:noFill/>
                    </a:ln>
                  </pic:spPr>
                </pic:pic>
              </a:graphicData>
            </a:graphic>
          </wp:inline>
        </w:drawing>
      </w:r>
    </w:p>
    <w:p>
      <w:pPr>
        <w:pStyle w:val="8"/>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order to enable such UE feature applicable in practice, RAN4 related impact should be analysis as soon as possible, e.g. in Rel-18.</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a BWP without SSB contained in the BW, the following measurement aspects should be considered whether they are impacted and how to realize:</w:t>
      </w:r>
    </w:p>
    <w:p>
      <w:pPr>
        <w:pStyle w:val="8"/>
        <w:numPr>
          <w:ilvl w:val="0"/>
          <w:numId w:val="4"/>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RRM measurement for mobility</w:t>
      </w:r>
    </w:p>
    <w:p>
      <w:pPr>
        <w:pStyle w:val="8"/>
        <w:numPr>
          <w:ilvl w:val="0"/>
          <w:numId w:val="4"/>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RLM</w:t>
      </w:r>
    </w:p>
    <w:p>
      <w:pPr>
        <w:pStyle w:val="8"/>
        <w:numPr>
          <w:ilvl w:val="0"/>
          <w:numId w:val="4"/>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BFD</w:t>
      </w:r>
    </w:p>
    <w:p>
      <w:pPr>
        <w:pStyle w:val="8"/>
        <w:numPr>
          <w:ilvl w:val="0"/>
          <w:numId w:val="4"/>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BM</w:t>
      </w:r>
    </w:p>
    <w:p>
      <w:pPr>
        <w:bidi w:val="0"/>
        <w:rPr>
          <w:rFonts w:hint="eastAsia"/>
          <w:b/>
          <w:bCs/>
          <w:lang w:val="en-US" w:eastAsia="zh-CN"/>
        </w:rPr>
      </w:pPr>
      <w:r>
        <w:rPr>
          <w:rFonts w:hint="eastAsia"/>
          <w:b/>
          <w:bCs/>
          <w:lang w:val="en-US" w:eastAsia="zh-CN"/>
        </w:rPr>
        <w:t>RRM measurement for mobility</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RRM measurement for mobility should be operated based on SSB or CSI-RS. And such measurement can be assumed as frequency layer level. So as long as a frequency layer configured for the target cell containing this BWP, then UE can perform RRM measurement. The UE can perform measurement with gap if the SSB is not fully contained in the active BWP. Therefore not any impact on RRM measurement for the UE capable of </w:t>
      </w:r>
      <w:r>
        <w:rPr>
          <w:rFonts w:hint="eastAsia" w:eastAsia="宋体"/>
          <w:i/>
          <w:iCs/>
          <w:color w:val="auto"/>
          <w:sz w:val="20"/>
          <w:szCs w:val="20"/>
          <w:highlight w:val="none"/>
          <w:lang w:val="en-US" w:eastAsia="zh-CN"/>
        </w:rPr>
        <w:t>bwp-WithoutRestriction</w:t>
      </w:r>
      <w:r>
        <w:rPr>
          <w:rFonts w:hint="eastAsia" w:eastAsia="宋体"/>
          <w:color w:val="auto"/>
          <w:sz w:val="20"/>
          <w:szCs w:val="20"/>
          <w:highlight w:val="none"/>
          <w:lang w:val="en-US" w:eastAsia="zh-CN"/>
        </w:rPr>
        <w:t>. Once the BWP without SSB is in active status, UE performs the RRM measurement with gap as specified in legacy.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Not any impact on RRM measurement for the UE capable of bwp-WithoutRestriction. </w:t>
      </w:r>
    </w:p>
    <w:p>
      <w:pPr>
        <w:pStyle w:val="8"/>
        <w:rPr>
          <w:rFonts w:hint="default" w:eastAsia="宋体"/>
          <w:color w:val="auto"/>
          <w:sz w:val="20"/>
          <w:szCs w:val="20"/>
          <w:highlight w:val="none"/>
          <w:lang w:val="en-US" w:eastAsia="zh-CN"/>
        </w:rPr>
      </w:pPr>
    </w:p>
    <w:p>
      <w:pPr>
        <w:bidi w:val="0"/>
        <w:rPr>
          <w:rFonts w:hint="eastAsia"/>
          <w:b/>
          <w:bCs/>
          <w:lang w:val="en-US" w:eastAsia="zh-CN"/>
        </w:rPr>
      </w:pPr>
      <w:r>
        <w:rPr>
          <w:rFonts w:hint="eastAsia"/>
          <w:b/>
          <w:bCs/>
          <w:lang w:val="en-US" w:eastAsia="zh-CN"/>
        </w:rPr>
        <w:t>RLM</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UE can perform RLM based on SSB and/or CSI-RS. UE only needs to perform RLM for PCell and PSCell, not need for SCell. Further more, 38.133 specifies that UE is not required to perform RLM outside the active DL BWP.</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So the impact is that: for a UE capable of </w:t>
      </w:r>
      <w:r>
        <w:rPr>
          <w:rFonts w:hint="eastAsia" w:eastAsia="宋体"/>
          <w:i/>
          <w:iCs/>
          <w:color w:val="auto"/>
          <w:sz w:val="20"/>
          <w:szCs w:val="20"/>
          <w:highlight w:val="none"/>
          <w:lang w:val="en-US" w:eastAsia="zh-CN"/>
        </w:rPr>
        <w:t>bwp-WithoutRestriction</w:t>
      </w:r>
      <w:r>
        <w:rPr>
          <w:rFonts w:hint="eastAsia" w:eastAsia="宋体"/>
          <w:color w:val="auto"/>
          <w:sz w:val="20"/>
          <w:szCs w:val="20"/>
          <w:highlight w:val="none"/>
          <w:lang w:val="en-US" w:eastAsia="zh-CN"/>
        </w:rPr>
        <w:t>, the UE can only perform RLM based on CSI-RS in the BWP without SSB.</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The impact from the perspective of RAN4 is: for a UE capable of </w:t>
      </w:r>
      <w:r>
        <w:rPr>
          <w:rFonts w:hint="eastAsia" w:eastAsia="宋体" w:cs="Times New Roman"/>
          <w:b/>
          <w:bCs/>
          <w:i/>
          <w:iCs/>
          <w:color w:val="auto"/>
          <w:sz w:val="20"/>
          <w:szCs w:val="20"/>
          <w:highlight w:val="none"/>
          <w:lang w:val="en-US" w:eastAsia="zh-CN" w:bidi="ar-SA"/>
        </w:rPr>
        <w:t>bwp-WithoutRestriction</w:t>
      </w:r>
      <w:r>
        <w:rPr>
          <w:rFonts w:hint="eastAsia" w:eastAsia="宋体" w:cs="Times New Roman"/>
          <w:b/>
          <w:bCs/>
          <w:color w:val="auto"/>
          <w:sz w:val="20"/>
          <w:szCs w:val="20"/>
          <w:highlight w:val="none"/>
          <w:lang w:val="en-US" w:eastAsia="zh-CN" w:bidi="ar-SA"/>
        </w:rPr>
        <w:t>, the UE can only perform RLM based on CSI-RS in the BWP without SSB.</w:t>
      </w:r>
    </w:p>
    <w:p>
      <w:pPr>
        <w:pStyle w:val="8"/>
        <w:rPr>
          <w:rFonts w:hint="default" w:eastAsia="宋体" w:cs="Times New Roman"/>
          <w:b/>
          <w:bCs/>
          <w:color w:val="auto"/>
          <w:sz w:val="20"/>
          <w:szCs w:val="20"/>
          <w:highlight w:val="none"/>
          <w:lang w:val="en-US" w:eastAsia="zh-CN" w:bidi="ar-SA"/>
        </w:rPr>
      </w:pPr>
    </w:p>
    <w:p>
      <w:pPr>
        <w:bidi w:val="0"/>
        <w:rPr>
          <w:rFonts w:hint="eastAsia"/>
          <w:b/>
          <w:bCs/>
          <w:lang w:val="en-US" w:eastAsia="zh-CN"/>
        </w:rPr>
      </w:pPr>
      <w:r>
        <w:rPr>
          <w:rFonts w:hint="eastAsia"/>
          <w:b/>
          <w:bCs/>
          <w:lang w:val="en-US" w:eastAsia="zh-CN"/>
        </w:rPr>
        <w:t>BFD</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UE can perform BFD based on SSB and/or periodic CSI-RS. Different with RLM, UE can perform BFD for PCell, PSCell and SCell. For PCell and PSCell, the BFD can be based on SSB and/or periodic CSI-RS. However for SCell, the BFD can only be based on periodic CSI-RS. All RSs used for beam failure detection was configured in </w:t>
      </w:r>
      <w:r>
        <w:rPr>
          <w:rFonts w:hint="eastAsia" w:eastAsia="宋体"/>
          <w:color w:val="auto"/>
          <w:sz w:val="20"/>
          <w:szCs w:val="20"/>
          <w:highlight w:val="none"/>
          <w:lang w:val="en-US" w:eastAsia="zh-CN"/>
        </w:rPr>
        <w:object>
          <v:shape id="_x0000_i1025" o:spt="75" type="#_x0000_t75" style="height:18.75pt;width:12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eastAsia="宋体"/>
          <w:color w:val="auto"/>
          <w:sz w:val="20"/>
          <w:szCs w:val="20"/>
          <w:highlight w:val="none"/>
          <w:lang w:val="en-US" w:eastAsia="zh-CN"/>
        </w:rPr>
        <w:t xml:space="preserve">. All RSs used for beam recovering was configured in </w:t>
      </w:r>
      <w:r>
        <w:rPr>
          <w:rFonts w:hint="eastAsia" w:eastAsia="宋体"/>
          <w:color w:val="auto"/>
          <w:sz w:val="20"/>
          <w:szCs w:val="20"/>
          <w:highlight w:val="none"/>
          <w:lang w:val="en-US" w:eastAsia="zh-CN"/>
        </w:rPr>
        <w:object>
          <v:shape id="_x0000_i1026" o:spt="75" type="#_x0000_t75" style="height:18.75pt;width:12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eastAsia="宋体"/>
          <w:color w:val="auto"/>
          <w:sz w:val="20"/>
          <w:szCs w:val="20"/>
          <w:highlight w:val="none"/>
          <w:lang w:val="en-US" w:eastAsia="zh-CN"/>
        </w:rPr>
        <w:t>. Further more, TS38.133 specifies that UE is not required to perform beam failure detection(</w:t>
      </w:r>
      <w:r>
        <w:rPr>
          <w:rFonts w:hint="eastAsia" w:eastAsia="宋体"/>
          <w:color w:val="auto"/>
          <w:sz w:val="20"/>
          <w:szCs w:val="20"/>
          <w:highlight w:val="none"/>
          <w:lang w:val="en-US" w:eastAsia="zh-CN"/>
        </w:rPr>
        <w:object>
          <v:shape id="_x0000_i1027" o:spt="75" type="#_x0000_t75" style="height:18.75pt;width:12pt;" o:ole="t" filled="f" o:preferrelative="t" stroked="f" coordsize="21600,21600">
            <v:path/>
            <v:fill on="f" focussize="0,0"/>
            <v:stroke on="f" joinstyle="miter"/>
            <v:imagedata r:id="rId7" o:title=""/>
            <o:lock v:ext="edit" aspectratio="t"/>
            <w10:wrap type="none"/>
            <w10:anchorlock/>
          </v:shape>
          <o:OLEObject Type="Embed" ProgID="Equation.3" ShapeID="_x0000_i1027" DrawAspect="Content" ObjectID="_1468075727" r:id="rId10">
            <o:LockedField>false</o:LockedField>
          </o:OLEObject>
        </w:object>
      </w:r>
      <w:r>
        <w:rPr>
          <w:rFonts w:hint="eastAsia" w:eastAsia="宋体"/>
          <w:color w:val="auto"/>
          <w:sz w:val="20"/>
          <w:szCs w:val="20"/>
          <w:highlight w:val="none"/>
          <w:lang w:val="en-US" w:eastAsia="zh-CN"/>
        </w:rPr>
        <w:t>) and beam detection(</w:t>
      </w:r>
      <w:r>
        <w:rPr>
          <w:rFonts w:hint="eastAsia" w:eastAsia="宋体"/>
          <w:color w:val="auto"/>
          <w:sz w:val="20"/>
          <w:szCs w:val="20"/>
          <w:highlight w:val="none"/>
          <w:lang w:val="en-US" w:eastAsia="zh-CN"/>
        </w:rPr>
        <w:object>
          <v:shape id="_x0000_i1028" o:spt="75" type="#_x0000_t75" style="height:18.75pt;width:12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1">
            <o:LockedField>false</o:LockedField>
          </o:OLEObject>
        </w:object>
      </w:r>
      <w:r>
        <w:rPr>
          <w:rFonts w:hint="eastAsia" w:eastAsia="宋体"/>
          <w:color w:val="auto"/>
          <w:sz w:val="20"/>
          <w:szCs w:val="20"/>
          <w:highlight w:val="none"/>
          <w:lang w:val="en-US" w:eastAsia="zh-CN"/>
        </w:rPr>
        <w:t>) outside the active DL BWP.</w:t>
      </w:r>
    </w:p>
    <w:p>
      <w:pPr>
        <w:numPr>
          <w:ilvl w:val="0"/>
          <w:numId w:val="0"/>
        </w:numPr>
        <w:ind w:leftChars="0"/>
        <w:rPr>
          <w:rFonts w:hint="eastAsia"/>
          <w:lang w:val="en-US" w:eastAsia="zh-CN"/>
        </w:rPr>
      </w:pPr>
      <w:r>
        <w:rPr>
          <w:rFonts w:hint="eastAsia"/>
          <w:u w:val="none"/>
          <w:lang w:val="en-US" w:eastAsia="zh-CN"/>
        </w:rPr>
        <w:t xml:space="preserve">So the impact is that: </w:t>
      </w:r>
      <w:r>
        <w:rPr>
          <w:rFonts w:hint="eastAsia"/>
          <w:lang w:val="en-US" w:eastAsia="zh-CN"/>
        </w:rPr>
        <w:t xml:space="preserve">for a UE capable of </w:t>
      </w:r>
      <w:r>
        <w:rPr>
          <w:i/>
        </w:rPr>
        <w:t>bwp-WithoutRestriction</w:t>
      </w:r>
      <w:r>
        <w:rPr>
          <w:rFonts w:hint="eastAsia"/>
          <w:lang w:val="en-US" w:eastAsia="zh-CN"/>
        </w:rPr>
        <w:t>, the UE can only perform BFD based on periodic CSI-RS in the BWP without SSB.</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The impact from the perspective of RAN4 is: for a UE capable of bwp-WithoutRestriction, the UE can only perform BFD based on periodic CSI-RS in the BWP without SSB.</w:t>
      </w:r>
    </w:p>
    <w:p>
      <w:pPr>
        <w:numPr>
          <w:ilvl w:val="0"/>
          <w:numId w:val="0"/>
        </w:numPr>
        <w:ind w:leftChars="0"/>
        <w:rPr>
          <w:rFonts w:hint="default" w:eastAsia="宋体" w:cs="Times New Roman"/>
          <w:b/>
          <w:bCs/>
          <w:color w:val="auto"/>
          <w:sz w:val="20"/>
          <w:szCs w:val="20"/>
          <w:highlight w:val="none"/>
          <w:lang w:val="en-US" w:eastAsia="zh-CN" w:bidi="ar-SA"/>
        </w:rPr>
      </w:pPr>
    </w:p>
    <w:p>
      <w:pPr>
        <w:bidi w:val="0"/>
        <w:rPr>
          <w:rFonts w:hint="default"/>
          <w:b/>
          <w:bCs/>
          <w:lang w:val="en-US" w:eastAsia="zh-CN"/>
        </w:rPr>
      </w:pPr>
      <w:r>
        <w:rPr>
          <w:rFonts w:hint="eastAsia"/>
          <w:b/>
          <w:bCs/>
          <w:lang w:val="en-US" w:eastAsia="zh-CN"/>
        </w:rPr>
        <w:t>BM</w:t>
      </w:r>
    </w:p>
    <w:p>
      <w:pPr>
        <w:pStyle w:val="8"/>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UE can perform L1-RSRP/L1-SINR measurement to realize BM. Such L1 measurement can be SSB based or CSI-RS based. If without SSB, CSI-RS based BM should be applied. Since it is specified that the L1 measurement should be on the resources configured for L1-RSRP measurements within the active BWP, so UE can not perform L1 measurement based on the SSB out of active BWP.</w:t>
      </w:r>
    </w:p>
    <w:p>
      <w:pPr>
        <w:pStyle w:val="8"/>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So the impact is that: for a UE capable of </w:t>
      </w:r>
      <w:r>
        <w:rPr>
          <w:rFonts w:hint="eastAsia" w:eastAsia="宋体"/>
          <w:i/>
          <w:iCs/>
          <w:color w:val="auto"/>
          <w:sz w:val="20"/>
          <w:szCs w:val="20"/>
          <w:highlight w:val="none"/>
          <w:lang w:val="en-US" w:eastAsia="zh-CN"/>
        </w:rPr>
        <w:t>bwp-WithoutRestriction</w:t>
      </w:r>
      <w:r>
        <w:rPr>
          <w:rFonts w:hint="eastAsia" w:eastAsia="宋体"/>
          <w:color w:val="auto"/>
          <w:sz w:val="20"/>
          <w:szCs w:val="20"/>
          <w:highlight w:val="none"/>
          <w:lang w:val="en-US" w:eastAsia="zh-CN"/>
        </w:rPr>
        <w:t>, the UE can only perform L1 measurement based on CSI-RS resource configured within the active BWP without SSB.</w:t>
      </w:r>
    </w:p>
    <w:p>
      <w:pPr>
        <w:pStyle w:val="8"/>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Observation 4: The impact from the perspective of RAN4 is: for a UE capable of </w:t>
      </w:r>
      <w:r>
        <w:rPr>
          <w:rFonts w:hint="eastAsia" w:eastAsia="宋体" w:cs="Times New Roman"/>
          <w:b/>
          <w:bCs/>
          <w:i/>
          <w:iCs/>
          <w:color w:val="auto"/>
          <w:sz w:val="20"/>
          <w:szCs w:val="20"/>
          <w:highlight w:val="none"/>
          <w:lang w:val="en-US" w:eastAsia="zh-CN" w:bidi="ar-SA"/>
        </w:rPr>
        <w:t>bwp-WithoutRestriction</w:t>
      </w:r>
      <w:r>
        <w:rPr>
          <w:rFonts w:hint="eastAsia" w:eastAsia="宋体" w:cs="Times New Roman"/>
          <w:b/>
          <w:bCs/>
          <w:color w:val="auto"/>
          <w:sz w:val="20"/>
          <w:szCs w:val="20"/>
          <w:highlight w:val="none"/>
          <w:lang w:val="en-US" w:eastAsia="zh-CN" w:bidi="ar-SA"/>
        </w:rPr>
        <w:t>, the UE can only perform L1 measurement based on CSI-RS resource configured within the active BWP without SSB.</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from the perspective of RAN4 on the impact of </w:t>
      </w:r>
      <w:r>
        <w:rPr>
          <w:rFonts w:hint="eastAsia" w:eastAsia="宋体" w:cs="Times New Roman"/>
          <w:b w:val="0"/>
          <w:bCs w:val="0"/>
          <w:i/>
          <w:iCs/>
          <w:color w:val="auto"/>
          <w:sz w:val="20"/>
          <w:szCs w:val="20"/>
          <w:highlight w:val="none"/>
          <w:lang w:val="en-US" w:eastAsia="zh-CN" w:bidi="ar-SA"/>
        </w:rPr>
        <w:t>bwp-WithoutRestriction</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Not any impact on RRM measurement for the UE capable of bwp-WithoutRestriction.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The impact from the perspective of RAN4 is: for a UE capable of </w:t>
      </w:r>
      <w:r>
        <w:rPr>
          <w:rFonts w:hint="eastAsia" w:eastAsia="宋体" w:cs="Times New Roman"/>
          <w:b/>
          <w:bCs/>
          <w:i/>
          <w:iCs/>
          <w:color w:val="auto"/>
          <w:sz w:val="20"/>
          <w:szCs w:val="20"/>
          <w:highlight w:val="none"/>
          <w:lang w:val="en-US" w:eastAsia="zh-CN" w:bidi="ar-SA"/>
        </w:rPr>
        <w:t>bwp-WithoutRestriction</w:t>
      </w:r>
      <w:r>
        <w:rPr>
          <w:rFonts w:hint="eastAsia" w:eastAsia="宋体" w:cs="Times New Roman"/>
          <w:b/>
          <w:bCs/>
          <w:color w:val="auto"/>
          <w:sz w:val="20"/>
          <w:szCs w:val="20"/>
          <w:highlight w:val="none"/>
          <w:lang w:val="en-US" w:eastAsia="zh-CN" w:bidi="ar-SA"/>
        </w:rPr>
        <w:t>, the UE can only perform RLM based on CSI-RS in the BWP without SSB.</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The impact from the perspective of RAN4 is: for a UE capable of bwp-WithoutRestriction, the UE can only perform BFD based on periodic CSI-RS in the BWP without SSB.</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4: The impact from the perspective of RAN4 is: for a UE capable of bwp-WithoutRestriction, the UE can only perform L1 measurement based on CSI-RS resource configured within the active BWP without SSB.</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5"/>
        </w:numPr>
        <w:ind w:leftChars="0"/>
        <w:rPr>
          <w:rFonts w:hint="default" w:eastAsia="宋体"/>
          <w:color w:val="auto"/>
          <w:lang w:val="en-US" w:eastAsia="zh-CN"/>
        </w:rPr>
      </w:pPr>
      <w:r>
        <w:rPr>
          <w:rFonts w:hint="eastAsia"/>
          <w:color w:val="auto"/>
          <w:lang w:val="en-US" w:eastAsia="zh-CN"/>
        </w:rPr>
        <w:t xml:space="preserve">R2-2204009 </w:t>
      </w:r>
      <w:r>
        <w:rPr>
          <w:rFonts w:hint="default"/>
          <w:color w:val="auto"/>
          <w:lang w:val="en-US" w:eastAsia="zh-CN"/>
        </w:rPr>
        <w:t>“LS on BWP operation without bandwidth restriction”</w:t>
      </w:r>
      <w:r>
        <w:rPr>
          <w:rFonts w:hint="eastAsia"/>
          <w:color w:val="auto"/>
          <w:lang w:val="en-US" w:eastAsia="zh-CN"/>
        </w:rPr>
        <w:t>, Qualcomm Incorporated</w:t>
      </w:r>
    </w:p>
    <w:p>
      <w:pPr>
        <w:pStyle w:val="9"/>
        <w:numPr>
          <w:ilvl w:val="0"/>
          <w:numId w:val="5"/>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91961C6"/>
    <w:multiLevelType w:val="singleLevel"/>
    <w:tmpl w:val="591961C6"/>
    <w:lvl w:ilvl="0" w:tentative="0">
      <w:start w:val="1"/>
      <w:numFmt w:val="bullet"/>
      <w:lvlText w:val=""/>
      <w:lvlJc w:val="left"/>
      <w:pPr>
        <w:ind w:left="420" w:hanging="42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963BA6"/>
    <w:rsid w:val="07CD3CDD"/>
    <w:rsid w:val="083E6EA0"/>
    <w:rsid w:val="0855671D"/>
    <w:rsid w:val="089009EB"/>
    <w:rsid w:val="09716BCA"/>
    <w:rsid w:val="09D64B23"/>
    <w:rsid w:val="09E644B8"/>
    <w:rsid w:val="0AB11629"/>
    <w:rsid w:val="0AB155C2"/>
    <w:rsid w:val="0B12013A"/>
    <w:rsid w:val="0B3D3C2F"/>
    <w:rsid w:val="0BB0429A"/>
    <w:rsid w:val="0BFF5FC6"/>
    <w:rsid w:val="0C394019"/>
    <w:rsid w:val="0CDB4E5B"/>
    <w:rsid w:val="102263EF"/>
    <w:rsid w:val="10997F43"/>
    <w:rsid w:val="10DE7BAE"/>
    <w:rsid w:val="120774A3"/>
    <w:rsid w:val="14006D19"/>
    <w:rsid w:val="1481754F"/>
    <w:rsid w:val="148F5721"/>
    <w:rsid w:val="14AC57CD"/>
    <w:rsid w:val="15ED3E9B"/>
    <w:rsid w:val="164514BE"/>
    <w:rsid w:val="166B2EA9"/>
    <w:rsid w:val="170F06AA"/>
    <w:rsid w:val="17225508"/>
    <w:rsid w:val="180A6E32"/>
    <w:rsid w:val="183F2CD2"/>
    <w:rsid w:val="1856323E"/>
    <w:rsid w:val="18AF55E3"/>
    <w:rsid w:val="18B1519A"/>
    <w:rsid w:val="18CD0507"/>
    <w:rsid w:val="18F36BA5"/>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208364FC"/>
    <w:rsid w:val="208A13BC"/>
    <w:rsid w:val="21014C39"/>
    <w:rsid w:val="21244EB1"/>
    <w:rsid w:val="213964D8"/>
    <w:rsid w:val="21595D04"/>
    <w:rsid w:val="21F13629"/>
    <w:rsid w:val="223236B6"/>
    <w:rsid w:val="2255462C"/>
    <w:rsid w:val="2305377E"/>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D187E1A"/>
    <w:rsid w:val="2E014790"/>
    <w:rsid w:val="2EE77680"/>
    <w:rsid w:val="2F2F0FC8"/>
    <w:rsid w:val="2FA70460"/>
    <w:rsid w:val="301C6BB6"/>
    <w:rsid w:val="319708F2"/>
    <w:rsid w:val="31B14C9E"/>
    <w:rsid w:val="332B149D"/>
    <w:rsid w:val="33C522D7"/>
    <w:rsid w:val="344C156B"/>
    <w:rsid w:val="34807672"/>
    <w:rsid w:val="34ED44D0"/>
    <w:rsid w:val="35B06C6A"/>
    <w:rsid w:val="366149EB"/>
    <w:rsid w:val="36941AA2"/>
    <w:rsid w:val="36D37423"/>
    <w:rsid w:val="379D23F9"/>
    <w:rsid w:val="3A185287"/>
    <w:rsid w:val="3A1F46B8"/>
    <w:rsid w:val="3A692CD0"/>
    <w:rsid w:val="3B270929"/>
    <w:rsid w:val="3B3D5571"/>
    <w:rsid w:val="3B673620"/>
    <w:rsid w:val="3B9A1F29"/>
    <w:rsid w:val="3CE4646B"/>
    <w:rsid w:val="3CFC1228"/>
    <w:rsid w:val="3D5E7AA8"/>
    <w:rsid w:val="3D6F2596"/>
    <w:rsid w:val="404E106A"/>
    <w:rsid w:val="405F175E"/>
    <w:rsid w:val="40C765F3"/>
    <w:rsid w:val="42F869D2"/>
    <w:rsid w:val="43553536"/>
    <w:rsid w:val="44972678"/>
    <w:rsid w:val="44F2751B"/>
    <w:rsid w:val="451632B9"/>
    <w:rsid w:val="45906394"/>
    <w:rsid w:val="45F60A50"/>
    <w:rsid w:val="46142D0C"/>
    <w:rsid w:val="46970A81"/>
    <w:rsid w:val="46B036BF"/>
    <w:rsid w:val="47282363"/>
    <w:rsid w:val="48F407FD"/>
    <w:rsid w:val="49DC4EAC"/>
    <w:rsid w:val="49E55BC5"/>
    <w:rsid w:val="4B600E77"/>
    <w:rsid w:val="4BF02011"/>
    <w:rsid w:val="4C1C63D6"/>
    <w:rsid w:val="4C2D52ED"/>
    <w:rsid w:val="4C864A35"/>
    <w:rsid w:val="4D207A05"/>
    <w:rsid w:val="4D53283E"/>
    <w:rsid w:val="4E015C76"/>
    <w:rsid w:val="4E310026"/>
    <w:rsid w:val="4E4A2325"/>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8D0053D"/>
    <w:rsid w:val="598C40A0"/>
    <w:rsid w:val="59DA647E"/>
    <w:rsid w:val="5A556E1A"/>
    <w:rsid w:val="5E2864D0"/>
    <w:rsid w:val="5E494511"/>
    <w:rsid w:val="5EB44FC0"/>
    <w:rsid w:val="5FBA395F"/>
    <w:rsid w:val="606F38F4"/>
    <w:rsid w:val="60EC2CBA"/>
    <w:rsid w:val="61CC2D28"/>
    <w:rsid w:val="635902CD"/>
    <w:rsid w:val="64706BBE"/>
    <w:rsid w:val="64F2095B"/>
    <w:rsid w:val="65A16A49"/>
    <w:rsid w:val="67A858DB"/>
    <w:rsid w:val="67FE4166"/>
    <w:rsid w:val="68C401C3"/>
    <w:rsid w:val="69A833BD"/>
    <w:rsid w:val="6D566F0F"/>
    <w:rsid w:val="6D836F72"/>
    <w:rsid w:val="6DDE3DAF"/>
    <w:rsid w:val="6E3241BE"/>
    <w:rsid w:val="6EB97A9D"/>
    <w:rsid w:val="6EF10A90"/>
    <w:rsid w:val="6FFF1868"/>
    <w:rsid w:val="715F4C2D"/>
    <w:rsid w:val="722F78FB"/>
    <w:rsid w:val="723C2F8E"/>
    <w:rsid w:val="723D67C5"/>
    <w:rsid w:val="72BF60CA"/>
    <w:rsid w:val="72F41282"/>
    <w:rsid w:val="733D0D32"/>
    <w:rsid w:val="73B76769"/>
    <w:rsid w:val="73D411F1"/>
    <w:rsid w:val="74A356B2"/>
    <w:rsid w:val="753811DE"/>
    <w:rsid w:val="75BE67D4"/>
    <w:rsid w:val="75C2004C"/>
    <w:rsid w:val="75C759C1"/>
    <w:rsid w:val="76281B03"/>
    <w:rsid w:val="762D64F3"/>
    <w:rsid w:val="762E20AD"/>
    <w:rsid w:val="767E7EFF"/>
    <w:rsid w:val="775B4604"/>
    <w:rsid w:val="77C067C3"/>
    <w:rsid w:val="78074939"/>
    <w:rsid w:val="78911E31"/>
    <w:rsid w:val="78F9732D"/>
    <w:rsid w:val="7922350F"/>
    <w:rsid w:val="792B5470"/>
    <w:rsid w:val="7A9367CB"/>
    <w:rsid w:val="7AF22571"/>
    <w:rsid w:val="7B69224B"/>
    <w:rsid w:val="7BE80F25"/>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1"/>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6</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2022-08-10T16:14:29Z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